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73" w:rsidRPr="00A82FEC" w:rsidRDefault="00B40A73" w:rsidP="00A82FEC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40A73" w:rsidRPr="00A82FEC" w:rsidRDefault="008B327B" w:rsidP="00A82FEC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>
        <w:rPr>
          <w:rStyle w:val="Intenzivensklic"/>
          <w:rFonts w:ascii="Arial" w:hAnsi="Arial" w:cs="Arial"/>
          <w:color w:val="auto"/>
          <w:sz w:val="24"/>
          <w:szCs w:val="24"/>
        </w:rPr>
        <w:t>0501H ZAKLJUČNA NALOGA</w:t>
      </w:r>
      <w:bookmarkStart w:id="0" w:name="_GoBack"/>
      <w:bookmarkEnd w:id="0"/>
    </w:p>
    <w:p w:rsidR="00B40A73" w:rsidRPr="00BB50EB" w:rsidRDefault="00B40A73" w:rsidP="00A82FEC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  <w:u w:val="single"/>
        </w:rPr>
      </w:pPr>
      <w:r w:rsidRPr="00A82FEC">
        <w:rPr>
          <w:rFonts w:ascii="Arial" w:hAnsi="Arial" w:cs="Arial"/>
          <w:sz w:val="24"/>
          <w:szCs w:val="24"/>
        </w:rPr>
        <w:t>Izračunaj na dva načina; brez in z računalom. Kaj je značilno za eksponenta?</w:t>
      </w:r>
    </w:p>
    <w:p w:rsidR="00BB50EB" w:rsidRPr="00BB50EB" w:rsidRDefault="00BB50EB" w:rsidP="00BB50EB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" w:hAnsi="Arial" w:cs="Arial"/>
          <w:i/>
          <w:sz w:val="24"/>
          <w:szCs w:val="24"/>
          <w:u w:val="single"/>
        </w:rPr>
      </w:pPr>
    </w:p>
    <w:p w:rsidR="00B40A73" w:rsidRDefault="006B2A62" w:rsidP="00A82FEC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 xml:space="preserve">· 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BB50EB" w:rsidRPr="00A82FEC" w:rsidRDefault="00BB50EB" w:rsidP="00BB50EB">
      <w:pPr>
        <w:pStyle w:val="Odstavekseznama"/>
        <w:overflowPunct w:val="0"/>
        <w:autoSpaceDE w:val="0"/>
        <w:autoSpaceDN w:val="0"/>
        <w:adjustRightInd w:val="0"/>
        <w:spacing w:after="0"/>
        <w:ind w:left="1428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</w:rPr>
      </w:pPr>
    </w:p>
    <w:p w:rsidR="00B40A73" w:rsidRPr="00A82FEC" w:rsidRDefault="006B2A62" w:rsidP="00A82FEC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  <w:u w:val="single"/>
        </w:rPr>
      </w:pP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1,5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</m:oMath>
      <w:r w:rsidR="00B40A73" w:rsidRPr="00A82FEC">
        <w:rPr>
          <w:rFonts w:ascii="Arial" w:hAnsi="Arial" w:cs="Arial"/>
          <w:i/>
          <w:color w:val="FF0000"/>
          <w:sz w:val="24"/>
          <w:szCs w:val="24"/>
        </w:rPr>
        <w:t>=</w:t>
      </w:r>
    </w:p>
    <w:p w:rsidR="00B40A73" w:rsidRPr="00A82FEC" w:rsidRDefault="00B40A73" w:rsidP="00A82FEC">
      <w:pPr>
        <w:ind w:left="708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40A73" w:rsidRPr="00A82FEC" w:rsidRDefault="00B40A73" w:rsidP="00A82FEC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</w:rPr>
      </w:pPr>
      <w:r w:rsidRPr="00A82FEC">
        <w:rPr>
          <w:rFonts w:ascii="Arial" w:hAnsi="Arial" w:cs="Arial"/>
          <w:sz w:val="24"/>
          <w:szCs w:val="24"/>
        </w:rPr>
        <w:t>Izračunaj:</w:t>
      </w:r>
    </w:p>
    <w:p w:rsidR="00B40A73" w:rsidRDefault="006B2A62" w:rsidP="00A82FEC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2x-3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1F497D" w:themeColor="text2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125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</m:oMath>
    </w:p>
    <w:p w:rsidR="00C84B6D" w:rsidRPr="00A82FEC" w:rsidRDefault="00C84B6D" w:rsidP="00C84B6D">
      <w:pPr>
        <w:pStyle w:val="Odstavekseznama"/>
        <w:overflowPunct w:val="0"/>
        <w:autoSpaceDE w:val="0"/>
        <w:autoSpaceDN w:val="0"/>
        <w:adjustRightInd w:val="0"/>
        <w:spacing w:after="0"/>
        <w:ind w:left="1068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B40A73" w:rsidRDefault="006B2A62" w:rsidP="00A82FEC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color w:val="00B05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2x+3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+6</m:t>
            </m:r>
            <m:sSup>
              <m:sSupPr>
                <m:ctrl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2x+2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-7</m:t>
            </m:r>
            <m:sSup>
              <m:sSupPr>
                <m:ctrl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2x+2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2x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>=</m:t>
        </m:r>
      </m:oMath>
    </w:p>
    <w:p w:rsidR="00C84B6D" w:rsidRPr="00A82FEC" w:rsidRDefault="00C84B6D" w:rsidP="00C84B6D">
      <w:pPr>
        <w:pStyle w:val="Odstavekseznama"/>
        <w:overflowPunct w:val="0"/>
        <w:autoSpaceDE w:val="0"/>
        <w:autoSpaceDN w:val="0"/>
        <w:adjustRightInd w:val="0"/>
        <w:spacing w:after="0"/>
        <w:ind w:left="1068"/>
        <w:jc w:val="both"/>
        <w:textAlignment w:val="baseline"/>
        <w:rPr>
          <w:rFonts w:ascii="Arial" w:hAnsi="Arial" w:cs="Arial"/>
          <w:i/>
          <w:color w:val="00B050"/>
          <w:sz w:val="24"/>
          <w:szCs w:val="24"/>
        </w:rPr>
      </w:pPr>
    </w:p>
    <w:p w:rsidR="00B40A73" w:rsidRDefault="006B2A62" w:rsidP="00A82FEC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 xml:space="preserve">5 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4</m:t>
                </m:r>
              </m:den>
            </m:f>
          </m:e>
        </m:rad>
        <m:r>
          <w:rPr>
            <w:rFonts w:ascii="Cambria Math" w:hAnsi="Cambria Math" w:cs="Arial"/>
            <w:color w:val="1F497D" w:themeColor="text2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0,04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 xml:space="preserve">= </m:t>
        </m:r>
      </m:oMath>
    </w:p>
    <w:p w:rsidR="00C84B6D" w:rsidRPr="00A82FEC" w:rsidRDefault="00C84B6D" w:rsidP="00C84B6D">
      <w:pPr>
        <w:pStyle w:val="Odstavekseznama"/>
        <w:overflowPunct w:val="0"/>
        <w:autoSpaceDE w:val="0"/>
        <w:autoSpaceDN w:val="0"/>
        <w:adjustRightInd w:val="0"/>
        <w:spacing w:after="0"/>
        <w:ind w:left="1068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</w:p>
    <w:p w:rsidR="00B40A73" w:rsidRPr="00C84B6D" w:rsidRDefault="006B2A62" w:rsidP="00A82FEC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2-3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5</m:t>
                </m:r>
              </m:e>
            </m:rad>
          </m:e>
        </m:d>
        <m:rad>
          <m:radPr>
            <m:degHide m:val="1"/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+49</m:t>
            </m:r>
          </m:e>
        </m:rad>
        <m:r>
          <w:rPr>
            <w:rFonts w:ascii="Cambria Math" w:hAnsi="Cambria Math" w:cs="Arial"/>
            <w:color w:val="00B05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</m:oMath>
    </w:p>
    <w:p w:rsidR="00C84B6D" w:rsidRPr="00A82FEC" w:rsidRDefault="00C84B6D" w:rsidP="00C84B6D">
      <w:pPr>
        <w:pStyle w:val="Odstavekseznama"/>
        <w:overflowPunct w:val="0"/>
        <w:autoSpaceDE w:val="0"/>
        <w:autoSpaceDN w:val="0"/>
        <w:adjustRightInd w:val="0"/>
        <w:spacing w:after="0"/>
        <w:ind w:left="1068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</w:p>
    <w:p w:rsidR="00B40A73" w:rsidRPr="00A82FEC" w:rsidRDefault="00B40A73" w:rsidP="00A82FEC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A82FEC">
        <w:rPr>
          <w:rFonts w:ascii="Arial" w:hAnsi="Arial" w:cs="Arial"/>
          <w:color w:val="00B050"/>
          <w:sz w:val="24"/>
          <w:szCs w:val="24"/>
        </w:rPr>
        <w:t>Poišči problemsko nalogo, v kateri uporabljaš potence oziroma korene.</w:t>
      </w:r>
    </w:p>
    <w:p w:rsidR="00B40A73" w:rsidRPr="00A82FEC" w:rsidRDefault="00B40A73" w:rsidP="00A82FEC">
      <w:pPr>
        <w:jc w:val="both"/>
        <w:rPr>
          <w:rFonts w:ascii="Arial" w:hAnsi="Arial" w:cs="Arial"/>
          <w:sz w:val="24"/>
          <w:szCs w:val="24"/>
        </w:rPr>
      </w:pPr>
    </w:p>
    <w:p w:rsidR="009D4DB7" w:rsidRPr="00A82FEC" w:rsidRDefault="009D4DB7" w:rsidP="00A82FEC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A82FE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A82FEC" w:rsidRDefault="009D4DB7" w:rsidP="00A82FEC">
      <w:pPr>
        <w:jc w:val="both"/>
        <w:rPr>
          <w:rFonts w:ascii="Arial" w:hAnsi="Arial" w:cs="Arial"/>
          <w:sz w:val="24"/>
          <w:szCs w:val="24"/>
        </w:rPr>
      </w:pPr>
    </w:p>
    <w:p w:rsidR="009D4DB7" w:rsidRPr="00A82FEC" w:rsidRDefault="009D4DB7" w:rsidP="00A82FEC">
      <w:pPr>
        <w:jc w:val="both"/>
        <w:rPr>
          <w:rFonts w:ascii="Arial" w:hAnsi="Arial" w:cs="Arial"/>
          <w:sz w:val="24"/>
          <w:szCs w:val="24"/>
        </w:rPr>
      </w:pPr>
    </w:p>
    <w:sectPr w:rsidR="009D4DB7" w:rsidRPr="00A82FEC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62" w:rsidRDefault="006B2A62" w:rsidP="009D4DB7">
      <w:pPr>
        <w:spacing w:after="0" w:line="240" w:lineRule="auto"/>
      </w:pPr>
      <w:r>
        <w:separator/>
      </w:r>
    </w:p>
  </w:endnote>
  <w:endnote w:type="continuationSeparator" w:id="0">
    <w:p w:rsidR="006B2A62" w:rsidRDefault="006B2A6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62" w:rsidRDefault="006B2A62" w:rsidP="009D4DB7">
      <w:pPr>
        <w:spacing w:after="0" w:line="240" w:lineRule="auto"/>
      </w:pPr>
      <w:r>
        <w:separator/>
      </w:r>
    </w:p>
  </w:footnote>
  <w:footnote w:type="continuationSeparator" w:id="0">
    <w:p w:rsidR="006B2A62" w:rsidRDefault="006B2A6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295"/>
    <w:multiLevelType w:val="hybridMultilevel"/>
    <w:tmpl w:val="A292267A"/>
    <w:lvl w:ilvl="0" w:tplc="8B90AED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708" w:hanging="360"/>
      </w:pPr>
    </w:lvl>
    <w:lvl w:ilvl="2" w:tplc="0424001B">
      <w:start w:val="1"/>
      <w:numFmt w:val="lowerRoman"/>
      <w:lvlText w:val="%3."/>
      <w:lvlJc w:val="right"/>
      <w:pPr>
        <w:ind w:left="1428" w:hanging="180"/>
      </w:pPr>
    </w:lvl>
    <w:lvl w:ilvl="3" w:tplc="0424000F" w:tentative="1">
      <w:start w:val="1"/>
      <w:numFmt w:val="decimal"/>
      <w:lvlText w:val="%4."/>
      <w:lvlJc w:val="left"/>
      <w:pPr>
        <w:ind w:left="2148" w:hanging="360"/>
      </w:pPr>
    </w:lvl>
    <w:lvl w:ilvl="4" w:tplc="04240019" w:tentative="1">
      <w:start w:val="1"/>
      <w:numFmt w:val="lowerLetter"/>
      <w:lvlText w:val="%5."/>
      <w:lvlJc w:val="left"/>
      <w:pPr>
        <w:ind w:left="2868" w:hanging="360"/>
      </w:pPr>
    </w:lvl>
    <w:lvl w:ilvl="5" w:tplc="0424001B" w:tentative="1">
      <w:start w:val="1"/>
      <w:numFmt w:val="lowerRoman"/>
      <w:lvlText w:val="%6."/>
      <w:lvlJc w:val="right"/>
      <w:pPr>
        <w:ind w:left="3588" w:hanging="180"/>
      </w:pPr>
    </w:lvl>
    <w:lvl w:ilvl="6" w:tplc="0424000F" w:tentative="1">
      <w:start w:val="1"/>
      <w:numFmt w:val="decimal"/>
      <w:lvlText w:val="%7."/>
      <w:lvlJc w:val="left"/>
      <w:pPr>
        <w:ind w:left="4308" w:hanging="360"/>
      </w:pPr>
    </w:lvl>
    <w:lvl w:ilvl="7" w:tplc="04240019" w:tentative="1">
      <w:start w:val="1"/>
      <w:numFmt w:val="lowerLetter"/>
      <w:lvlText w:val="%8."/>
      <w:lvlJc w:val="left"/>
      <w:pPr>
        <w:ind w:left="5028" w:hanging="360"/>
      </w:pPr>
    </w:lvl>
    <w:lvl w:ilvl="8" w:tplc="0424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" w15:restartNumberingAfterBreak="0">
    <w:nsid w:val="37FC758E"/>
    <w:multiLevelType w:val="hybridMultilevel"/>
    <w:tmpl w:val="975E7AF6"/>
    <w:lvl w:ilvl="0" w:tplc="92C286A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068" w:hanging="360"/>
      </w:pPr>
    </w:lvl>
    <w:lvl w:ilvl="2" w:tplc="0424001B">
      <w:start w:val="1"/>
      <w:numFmt w:val="lowerRoman"/>
      <w:lvlText w:val="%3."/>
      <w:lvlJc w:val="right"/>
      <w:pPr>
        <w:ind w:left="1788" w:hanging="180"/>
      </w:pPr>
    </w:lvl>
    <w:lvl w:ilvl="3" w:tplc="0424000F" w:tentative="1">
      <w:start w:val="1"/>
      <w:numFmt w:val="decimal"/>
      <w:lvlText w:val="%4."/>
      <w:lvlJc w:val="left"/>
      <w:pPr>
        <w:ind w:left="2508" w:hanging="360"/>
      </w:pPr>
    </w:lvl>
    <w:lvl w:ilvl="4" w:tplc="04240019" w:tentative="1">
      <w:start w:val="1"/>
      <w:numFmt w:val="lowerLetter"/>
      <w:lvlText w:val="%5."/>
      <w:lvlJc w:val="left"/>
      <w:pPr>
        <w:ind w:left="3228" w:hanging="360"/>
      </w:pPr>
    </w:lvl>
    <w:lvl w:ilvl="5" w:tplc="0424001B" w:tentative="1">
      <w:start w:val="1"/>
      <w:numFmt w:val="lowerRoman"/>
      <w:lvlText w:val="%6."/>
      <w:lvlJc w:val="right"/>
      <w:pPr>
        <w:ind w:left="3948" w:hanging="180"/>
      </w:pPr>
    </w:lvl>
    <w:lvl w:ilvl="6" w:tplc="0424000F" w:tentative="1">
      <w:start w:val="1"/>
      <w:numFmt w:val="decimal"/>
      <w:lvlText w:val="%7."/>
      <w:lvlJc w:val="left"/>
      <w:pPr>
        <w:ind w:left="4668" w:hanging="360"/>
      </w:pPr>
    </w:lvl>
    <w:lvl w:ilvl="7" w:tplc="04240019" w:tentative="1">
      <w:start w:val="1"/>
      <w:numFmt w:val="lowerLetter"/>
      <w:lvlText w:val="%8."/>
      <w:lvlJc w:val="left"/>
      <w:pPr>
        <w:ind w:left="5388" w:hanging="360"/>
      </w:pPr>
    </w:lvl>
    <w:lvl w:ilvl="8" w:tplc="0424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57B62AE7"/>
    <w:multiLevelType w:val="hybridMultilevel"/>
    <w:tmpl w:val="53CE6C12"/>
    <w:lvl w:ilvl="0" w:tplc="8C62086E">
      <w:start w:val="1"/>
      <w:numFmt w:val="lowerLetter"/>
      <w:lvlText w:val="%1."/>
      <w:lvlJc w:val="left"/>
      <w:pPr>
        <w:ind w:left="1428" w:hanging="360"/>
      </w:pPr>
      <w:rPr>
        <w:rFonts w:hint="default"/>
        <w:i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3F80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53E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A62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27B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2FE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A73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7C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0EB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4B6D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0776D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37C4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5683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BE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3554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B40A7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07BB73-FF83-4F85-B298-9A6CFD7E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4</cp:revision>
  <cp:lastPrinted>2016-07-21T12:21:00Z</cp:lastPrinted>
  <dcterms:created xsi:type="dcterms:W3CDTF">2016-07-21T12:21:00Z</dcterms:created>
  <dcterms:modified xsi:type="dcterms:W3CDTF">2016-07-21T12:21:00Z</dcterms:modified>
</cp:coreProperties>
</file>